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30" w:rsidRDefault="00D833AB" w:rsidP="00E7132A">
      <w:pPr>
        <w:pStyle w:val="4"/>
        <w:spacing w:before="75" w:after="75" w:line="460" w:lineRule="exact"/>
        <w:rPr>
          <w:rFonts w:ascii="標楷體" w:eastAsia="標楷體" w:hAnsi="標楷體" w:cs="Times New Roman"/>
          <w:b/>
          <w:color w:val="000000" w:themeColor="text1"/>
        </w:rPr>
      </w:pPr>
      <w:r w:rsidRPr="00B7196A">
        <w:rPr>
          <w:rFonts w:ascii="標楷體" w:eastAsia="標楷體" w:hAnsi="標楷體" w:cs="Times New Roman" w:hint="eastAsia"/>
          <w:b/>
          <w:color w:val="000000" w:themeColor="text1"/>
        </w:rPr>
        <w:t>智慧財產及商業</w:t>
      </w:r>
      <w:r w:rsidRPr="00B7196A">
        <w:rPr>
          <w:rFonts w:ascii="標楷體" w:eastAsia="標楷體" w:hAnsi="標楷體" w:cs="Times New Roman"/>
          <w:b/>
          <w:color w:val="000000" w:themeColor="text1"/>
        </w:rPr>
        <w:t>法院</w:t>
      </w:r>
      <w:r w:rsidR="00981175">
        <w:rPr>
          <w:rFonts w:ascii="標楷體" w:eastAsia="標楷體" w:hAnsi="標楷體" w:cs="Times New Roman"/>
          <w:b/>
          <w:color w:val="000000" w:themeColor="text1"/>
        </w:rPr>
        <w:t>民事訴訟</w:t>
      </w:r>
      <w:r w:rsidR="00981175">
        <w:rPr>
          <w:rFonts w:ascii="標楷體" w:eastAsia="標楷體" w:hAnsi="標楷體" w:cs="Times New Roman" w:hint="eastAsia"/>
          <w:b/>
          <w:color w:val="000000" w:themeColor="text1"/>
        </w:rPr>
        <w:t>及</w:t>
      </w:r>
      <w:r w:rsidRPr="00B7196A">
        <w:rPr>
          <w:rFonts w:ascii="標楷體" w:eastAsia="標楷體" w:hAnsi="標楷體" w:cs="Times New Roman"/>
          <w:b/>
          <w:color w:val="000000" w:themeColor="text1"/>
        </w:rPr>
        <w:t>強制執行費用提高徵收額數標準</w:t>
      </w:r>
      <w:r w:rsidRPr="00B7196A">
        <w:rPr>
          <w:rFonts w:ascii="標楷體" w:eastAsia="標楷體" w:hAnsi="標楷體" w:cs="Times New Roman" w:hint="eastAsia"/>
          <w:b/>
          <w:color w:val="000000" w:themeColor="text1"/>
        </w:rPr>
        <w:t>草案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980"/>
      </w:tblGrid>
      <w:tr w:rsidR="00D833AB" w:rsidTr="00A54781">
        <w:trPr>
          <w:trHeight w:val="702"/>
          <w:jc w:val="center"/>
        </w:trPr>
        <w:tc>
          <w:tcPr>
            <w:tcW w:w="4106" w:type="dxa"/>
          </w:tcPr>
          <w:p w:rsidR="00D833AB" w:rsidRDefault="00D833AB" w:rsidP="002135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526C9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3980" w:type="dxa"/>
          </w:tcPr>
          <w:p w:rsidR="00D833AB" w:rsidRDefault="00D833AB" w:rsidP="002135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</w:t>
            </w:r>
            <w:r w:rsidR="00526C9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</w:tr>
      <w:tr w:rsidR="00D833AB" w:rsidTr="00A54781">
        <w:trPr>
          <w:trHeight w:val="1411"/>
          <w:jc w:val="center"/>
        </w:trPr>
        <w:tc>
          <w:tcPr>
            <w:tcW w:w="4106" w:type="dxa"/>
          </w:tcPr>
          <w:p w:rsidR="00D833AB" w:rsidRPr="00FF2979" w:rsidRDefault="005557CC" w:rsidP="00A54781">
            <w:pPr>
              <w:kinsoku w:val="0"/>
              <w:overflowPunct w:val="0"/>
              <w:adjustRightInd w:val="0"/>
              <w:snapToGrid w:val="0"/>
              <w:spacing w:line="4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第一條  </w:t>
            </w:r>
            <w:r w:rsidR="00E7132A">
              <w:rPr>
                <w:rFonts w:ascii="標楷體" w:eastAsia="標楷體" w:hAnsi="標楷體" w:hint="eastAsia"/>
                <w:szCs w:val="24"/>
              </w:rPr>
              <w:t>本標準依</w:t>
            </w:r>
            <w:r w:rsidR="00FF2979" w:rsidRPr="00BF4F26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民事訴訟法第七十七條之二十七</w:t>
            </w:r>
            <w:r w:rsidR="00E7132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及</w:t>
            </w:r>
            <w:r w:rsidR="00FF2979" w:rsidRPr="00BF4F26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強制執行法第</w:t>
            </w:r>
            <w:hyperlink r:id="rId7" w:anchor="a30b1" w:history="1">
              <w:r w:rsidR="00FF2979" w:rsidRPr="00BF4F26">
                <w:rPr>
                  <w:rFonts w:ascii="標楷體" w:eastAsia="標楷體" w:hAnsi="標楷體" w:cs="Times New Roman"/>
                  <w:color w:val="000000" w:themeColor="text1"/>
                  <w:kern w:val="0"/>
                  <w:szCs w:val="24"/>
                </w:rPr>
                <w:t>三十條之一</w:t>
              </w:r>
            </w:hyperlink>
            <w:r w:rsidR="00E7132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規定</w:t>
            </w:r>
            <w:r w:rsidR="00FF2979" w:rsidRPr="00BF4F26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訂定</w:t>
            </w:r>
            <w:r w:rsidR="00E7132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之</w:t>
            </w:r>
            <w:r w:rsidR="00FF2979" w:rsidRPr="00BF4F26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3980" w:type="dxa"/>
          </w:tcPr>
          <w:p w:rsidR="00D833AB" w:rsidRPr="00E7238D" w:rsidRDefault="00BF4F26" w:rsidP="00BF4F2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本標準訂定依據。</w:t>
            </w:r>
          </w:p>
        </w:tc>
      </w:tr>
      <w:tr w:rsidR="00BF4F26" w:rsidTr="00A54781">
        <w:trPr>
          <w:trHeight w:val="1825"/>
          <w:jc w:val="center"/>
        </w:trPr>
        <w:tc>
          <w:tcPr>
            <w:tcW w:w="4106" w:type="dxa"/>
          </w:tcPr>
          <w:p w:rsidR="00BF4F26" w:rsidRPr="00F71E23" w:rsidRDefault="005557CC" w:rsidP="00A54781">
            <w:pPr>
              <w:kinsoku w:val="0"/>
              <w:overflowPunct w:val="0"/>
              <w:adjustRightInd w:val="0"/>
              <w:snapToGrid w:val="0"/>
              <w:spacing w:line="4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第二條  </w:t>
            </w:r>
            <w:r w:rsidR="00F71E23" w:rsidRPr="00F71E2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因財產權而起訴，其訴訟標的金額或價額逾新臺幣十萬元部</w:t>
            </w:r>
            <w:r w:rsidR="00F71E23" w:rsidRPr="00F71E2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  <w:r w:rsidR="00F71E23" w:rsidRPr="00F71E2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，裁判費依民事訴訟法第</w:t>
            </w:r>
            <w:r w:rsidR="00F71E23" w:rsidRPr="00F71E2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七十七條之十三</w:t>
            </w:r>
            <w:r w:rsidR="00F71E23" w:rsidRPr="00F71E2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原定額數，加徵十分之一。</w:t>
            </w:r>
          </w:p>
        </w:tc>
        <w:tc>
          <w:tcPr>
            <w:tcW w:w="3980" w:type="dxa"/>
          </w:tcPr>
          <w:p w:rsidR="00BF4F26" w:rsidRPr="002B1A23" w:rsidRDefault="002B1A23" w:rsidP="00A54781">
            <w:pPr>
              <w:kinsoku w:val="0"/>
              <w:overflowPunct w:val="0"/>
              <w:adjustRightInd w:val="0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2B1A23">
              <w:rPr>
                <w:rFonts w:ascii="標楷體" w:eastAsia="標楷體" w:hAnsi="標楷體" w:hint="eastAsia"/>
                <w:szCs w:val="24"/>
              </w:rPr>
              <w:t>依據民事訴訟法第</w:t>
            </w:r>
            <w:r w:rsidR="00FB3C10">
              <w:rPr>
                <w:rFonts w:ascii="標楷體" w:eastAsia="標楷體" w:hAnsi="標楷體" w:hint="eastAsia"/>
                <w:szCs w:val="24"/>
              </w:rPr>
              <w:t>七十七</w:t>
            </w:r>
            <w:r w:rsidRPr="002B1A23">
              <w:rPr>
                <w:rFonts w:ascii="標楷體" w:eastAsia="標楷體" w:hAnsi="標楷體" w:hint="eastAsia"/>
                <w:szCs w:val="24"/>
              </w:rPr>
              <w:t>條之</w:t>
            </w:r>
            <w:r w:rsidR="00FB3C10">
              <w:rPr>
                <w:rFonts w:ascii="標楷體" w:eastAsia="標楷體" w:hAnsi="標楷體" w:hint="eastAsia"/>
                <w:szCs w:val="24"/>
              </w:rPr>
              <w:t>二十七</w:t>
            </w:r>
            <w:r w:rsidRPr="002B1A23">
              <w:rPr>
                <w:rFonts w:ascii="標楷體" w:eastAsia="標楷體" w:hAnsi="標楷體" w:hint="eastAsia"/>
                <w:szCs w:val="24"/>
              </w:rPr>
              <w:t>規定擬訂。</w:t>
            </w:r>
          </w:p>
          <w:p w:rsidR="002B1A23" w:rsidRPr="002B1A23" w:rsidRDefault="002B1A23" w:rsidP="00A54781">
            <w:pPr>
              <w:kinsoku w:val="0"/>
              <w:overflowPunct w:val="0"/>
              <w:adjustRightInd w:val="0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6F77F4">
              <w:rPr>
                <w:rFonts w:ascii="標楷體" w:eastAsia="標楷體" w:hAnsi="標楷體" w:hint="eastAsia"/>
                <w:szCs w:val="24"/>
              </w:rPr>
              <w:t>不包括本條訴訟標的金額或價額在新臺幣</w:t>
            </w:r>
            <w:r w:rsidR="00E7132A">
              <w:rPr>
                <w:rFonts w:ascii="標楷體" w:eastAsia="標楷體" w:hAnsi="標楷體" w:hint="eastAsia"/>
                <w:szCs w:val="24"/>
              </w:rPr>
              <w:t>十</w:t>
            </w:r>
            <w:r w:rsidR="006F77F4">
              <w:rPr>
                <w:rFonts w:ascii="標楷體" w:eastAsia="標楷體" w:hAnsi="標楷體" w:hint="eastAsia"/>
                <w:szCs w:val="24"/>
              </w:rPr>
              <w:t>萬元以下部分。</w:t>
            </w:r>
          </w:p>
        </w:tc>
      </w:tr>
      <w:tr w:rsidR="00BF4F26" w:rsidTr="00A54781">
        <w:trPr>
          <w:trHeight w:val="958"/>
          <w:jc w:val="center"/>
        </w:trPr>
        <w:tc>
          <w:tcPr>
            <w:tcW w:w="4106" w:type="dxa"/>
          </w:tcPr>
          <w:p w:rsidR="00BF4F26" w:rsidRPr="00C96E69" w:rsidRDefault="005557CC" w:rsidP="00A54781">
            <w:pPr>
              <w:kinsoku w:val="0"/>
              <w:overflowPunct w:val="0"/>
              <w:adjustRightInd w:val="0"/>
              <w:snapToGrid w:val="0"/>
              <w:spacing w:line="4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第三條  </w:t>
            </w:r>
            <w:r w:rsidR="00C96E69" w:rsidRPr="00C96E6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因財產權而起訴之事件，向第二審或第三審法院上訴，其訴訟標的金額或價額逾新臺幣十萬元部分，裁判費依民事訴訟法第</w:t>
            </w:r>
            <w:r w:rsidR="00C96E69" w:rsidRPr="00C96E6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七十七條之十六</w:t>
            </w:r>
            <w:r w:rsidR="00C96E69" w:rsidRPr="00C96E6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第一項原定額數，加徵十分之一。</w:t>
            </w:r>
            <w:r w:rsidR="00C96E69" w:rsidRPr="00C96E6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</w:r>
            <w:r w:rsidR="0041435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 </w:t>
            </w:r>
            <w:r w:rsidR="00C96E69" w:rsidRPr="00C96E6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於第二審為訴之變更、追加或依民事訴訟法第</w:t>
            </w:r>
            <w:r w:rsidR="00C96E69" w:rsidRPr="00C96E6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五十四</w:t>
            </w:r>
            <w:r w:rsidR="00C96E69" w:rsidRPr="00C96E6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條規定起訴應補徵裁判費，或提起反訴應徵收裁判費者，準用前項規定。</w:t>
            </w:r>
          </w:p>
        </w:tc>
        <w:tc>
          <w:tcPr>
            <w:tcW w:w="3980" w:type="dxa"/>
          </w:tcPr>
          <w:p w:rsidR="00633BC6" w:rsidRPr="002B1A23" w:rsidRDefault="00633BC6" w:rsidP="00A54781">
            <w:pPr>
              <w:kinsoku w:val="0"/>
              <w:overflowPunct w:val="0"/>
              <w:adjustRightInd w:val="0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2B1A23">
              <w:rPr>
                <w:rFonts w:ascii="標楷體" w:eastAsia="標楷體" w:hAnsi="標楷體" w:hint="eastAsia"/>
                <w:szCs w:val="24"/>
              </w:rPr>
              <w:t>依據民事訴訟法第</w:t>
            </w:r>
            <w:r w:rsidR="00FB3C10">
              <w:rPr>
                <w:rFonts w:ascii="標楷體" w:eastAsia="標楷體" w:hAnsi="標楷體" w:hint="eastAsia"/>
                <w:szCs w:val="24"/>
              </w:rPr>
              <w:t>七十七</w:t>
            </w:r>
            <w:r w:rsidRPr="002B1A23">
              <w:rPr>
                <w:rFonts w:ascii="標楷體" w:eastAsia="標楷體" w:hAnsi="標楷體" w:hint="eastAsia"/>
                <w:szCs w:val="24"/>
              </w:rPr>
              <w:t>條之</w:t>
            </w:r>
            <w:r w:rsidR="00FB3C10">
              <w:rPr>
                <w:rFonts w:ascii="標楷體" w:eastAsia="標楷體" w:hAnsi="標楷體" w:hint="eastAsia"/>
                <w:szCs w:val="24"/>
              </w:rPr>
              <w:t>二十七</w:t>
            </w:r>
            <w:r w:rsidRPr="002B1A23">
              <w:rPr>
                <w:rFonts w:ascii="標楷體" w:eastAsia="標楷體" w:hAnsi="標楷體" w:hint="eastAsia"/>
                <w:szCs w:val="24"/>
              </w:rPr>
              <w:t>規定擬訂。</w:t>
            </w:r>
          </w:p>
          <w:p w:rsidR="001D764F" w:rsidRDefault="00633BC6" w:rsidP="00A54781">
            <w:pPr>
              <w:kinsoku w:val="0"/>
              <w:overflowPunct w:val="0"/>
              <w:adjustRightInd w:val="0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3B6B27">
              <w:rPr>
                <w:rFonts w:ascii="標楷體" w:eastAsia="標楷體" w:hAnsi="標楷體" w:hint="eastAsia"/>
                <w:szCs w:val="24"/>
              </w:rPr>
              <w:t>依據同法第</w:t>
            </w:r>
            <w:r w:rsidR="00FB3C10">
              <w:rPr>
                <w:rFonts w:ascii="標楷體" w:eastAsia="標楷體" w:hAnsi="標楷體" w:hint="eastAsia"/>
                <w:szCs w:val="24"/>
              </w:rPr>
              <w:t>七十七</w:t>
            </w:r>
            <w:r w:rsidR="003B6B27">
              <w:rPr>
                <w:rFonts w:ascii="標楷體" w:eastAsia="標楷體" w:hAnsi="標楷體" w:hint="eastAsia"/>
                <w:szCs w:val="24"/>
              </w:rPr>
              <w:t>條之</w:t>
            </w:r>
            <w:r w:rsidR="00FB3C10">
              <w:rPr>
                <w:rFonts w:ascii="標楷體" w:eastAsia="標楷體" w:hAnsi="標楷體" w:hint="eastAsia"/>
                <w:szCs w:val="24"/>
              </w:rPr>
              <w:t>十三</w:t>
            </w:r>
            <w:r w:rsidR="003B6B27">
              <w:rPr>
                <w:rFonts w:ascii="標楷體" w:eastAsia="標楷體" w:hAnsi="標楷體" w:hint="eastAsia"/>
                <w:szCs w:val="24"/>
              </w:rPr>
              <w:t>所定原徵收數額，依本條規定再加徵</w:t>
            </w:r>
            <w:r w:rsidR="00E7132A">
              <w:rPr>
                <w:rFonts w:ascii="標楷體" w:eastAsia="標楷體" w:hAnsi="標楷體" w:hint="eastAsia"/>
                <w:szCs w:val="24"/>
              </w:rPr>
              <w:t>十</w:t>
            </w:r>
            <w:r w:rsidR="00C61CC6">
              <w:rPr>
                <w:rFonts w:ascii="標楷體" w:eastAsia="標楷體" w:hAnsi="標楷體" w:hint="eastAsia"/>
                <w:szCs w:val="24"/>
              </w:rPr>
              <w:t>分之</w:t>
            </w:r>
            <w:r w:rsidR="00E7132A">
              <w:rPr>
                <w:rFonts w:ascii="標楷體" w:eastAsia="標楷體" w:hAnsi="標楷體" w:hint="eastAsia"/>
                <w:szCs w:val="24"/>
              </w:rPr>
              <w:t>五</w:t>
            </w:r>
            <w:r w:rsidR="00C61CC6">
              <w:rPr>
                <w:rFonts w:ascii="標楷體" w:eastAsia="標楷體" w:hAnsi="標楷體" w:hint="eastAsia"/>
                <w:szCs w:val="24"/>
              </w:rPr>
              <w:t>，再核定加徵</w:t>
            </w:r>
            <w:r w:rsidR="00E7132A">
              <w:rPr>
                <w:rFonts w:ascii="標楷體" w:eastAsia="標楷體" w:hAnsi="標楷體" w:hint="eastAsia"/>
                <w:szCs w:val="24"/>
              </w:rPr>
              <w:t>十</w:t>
            </w:r>
            <w:r w:rsidR="00C61CC6">
              <w:rPr>
                <w:rFonts w:ascii="標楷體" w:eastAsia="標楷體" w:hAnsi="標楷體" w:hint="eastAsia"/>
                <w:szCs w:val="24"/>
              </w:rPr>
              <w:t>分之</w:t>
            </w:r>
            <w:r w:rsidR="00E7132A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61CC6" w:rsidRPr="001D764F" w:rsidRDefault="00C61CC6" w:rsidP="00A54781">
            <w:pPr>
              <w:kinsoku w:val="0"/>
              <w:overflowPunct w:val="0"/>
              <w:adjustRightInd w:val="0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三、不包括同法第</w:t>
            </w:r>
            <w:r w:rsidR="00FB3C10">
              <w:rPr>
                <w:rFonts w:ascii="標楷體" w:eastAsia="標楷體" w:hAnsi="標楷體" w:hint="eastAsia"/>
                <w:szCs w:val="24"/>
              </w:rPr>
              <w:t>七十七</w:t>
            </w:r>
            <w:r>
              <w:rPr>
                <w:rFonts w:ascii="標楷體" w:eastAsia="標楷體" w:hAnsi="標楷體" w:hint="eastAsia"/>
                <w:szCs w:val="24"/>
              </w:rPr>
              <w:t>條之</w:t>
            </w:r>
            <w:r w:rsidR="00FB3C10">
              <w:rPr>
                <w:rFonts w:ascii="標楷體" w:eastAsia="標楷體" w:hAnsi="標楷體" w:hint="eastAsia"/>
                <w:szCs w:val="24"/>
              </w:rPr>
              <w:t>十三</w:t>
            </w:r>
            <w:r>
              <w:rPr>
                <w:rFonts w:ascii="標楷體" w:eastAsia="標楷體" w:hAnsi="標楷體" w:hint="eastAsia"/>
                <w:szCs w:val="24"/>
              </w:rPr>
              <w:t>訴訟標的金額或價額在新臺幣</w:t>
            </w:r>
            <w:r w:rsidR="00E7132A">
              <w:rPr>
                <w:rFonts w:ascii="標楷體" w:eastAsia="標楷體" w:hAnsi="標楷體" w:hint="eastAsia"/>
                <w:szCs w:val="24"/>
              </w:rPr>
              <w:t>十</w:t>
            </w:r>
            <w:r>
              <w:rPr>
                <w:rFonts w:ascii="標楷體" w:eastAsia="標楷體" w:hAnsi="標楷體" w:hint="eastAsia"/>
                <w:szCs w:val="24"/>
              </w:rPr>
              <w:t>萬元以下</w:t>
            </w:r>
            <w:r w:rsidR="00721819">
              <w:rPr>
                <w:rFonts w:ascii="標楷體" w:eastAsia="標楷體" w:hAnsi="標楷體" w:hint="eastAsia"/>
                <w:szCs w:val="24"/>
              </w:rPr>
              <w:t>及第</w:t>
            </w:r>
            <w:r w:rsidR="00FB3C10">
              <w:rPr>
                <w:rFonts w:ascii="標楷體" w:eastAsia="標楷體" w:hAnsi="標楷體" w:hint="eastAsia"/>
                <w:szCs w:val="24"/>
              </w:rPr>
              <w:t>七十七</w:t>
            </w:r>
            <w:r w:rsidR="00721819">
              <w:rPr>
                <w:rFonts w:ascii="標楷體" w:eastAsia="標楷體" w:hAnsi="標楷體" w:hint="eastAsia"/>
                <w:szCs w:val="24"/>
              </w:rPr>
              <w:t>條之</w:t>
            </w:r>
            <w:r w:rsidR="00FB3C10">
              <w:rPr>
                <w:rFonts w:ascii="標楷體" w:eastAsia="標楷體" w:hAnsi="標楷體" w:hint="eastAsia"/>
                <w:szCs w:val="24"/>
              </w:rPr>
              <w:t>十四</w:t>
            </w:r>
            <w:r w:rsidR="00721819">
              <w:rPr>
                <w:rFonts w:ascii="標楷體" w:eastAsia="標楷體" w:hAnsi="標楷體" w:hint="eastAsia"/>
                <w:szCs w:val="24"/>
              </w:rPr>
              <w:t>非因財產權起訴者部分。</w:t>
            </w:r>
          </w:p>
        </w:tc>
      </w:tr>
      <w:tr w:rsidR="00BF4F26" w:rsidTr="00A54781">
        <w:trPr>
          <w:trHeight w:val="1825"/>
          <w:jc w:val="center"/>
        </w:trPr>
        <w:tc>
          <w:tcPr>
            <w:tcW w:w="4106" w:type="dxa"/>
          </w:tcPr>
          <w:p w:rsidR="00BF4F26" w:rsidRPr="00BF4F26" w:rsidRDefault="005557CC" w:rsidP="00A54781">
            <w:pPr>
              <w:kinsoku w:val="0"/>
              <w:overflowPunct w:val="0"/>
              <w:adjustRightInd w:val="0"/>
              <w:snapToGrid w:val="0"/>
              <w:spacing w:line="4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第四條  </w:t>
            </w:r>
            <w:r w:rsidR="002543E2" w:rsidRPr="002543E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強制執行，其執行標的金額或價額新臺幣五千元以上者，執行費依強制執行法第</w:t>
            </w:r>
            <w:r w:rsidR="002543E2" w:rsidRPr="002543E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二十八條之二</w:t>
            </w:r>
            <w:r w:rsidR="002543E2" w:rsidRPr="002543E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第一項原定額數，加徵七分之一。</w:t>
            </w:r>
          </w:p>
        </w:tc>
        <w:tc>
          <w:tcPr>
            <w:tcW w:w="3980" w:type="dxa"/>
          </w:tcPr>
          <w:p w:rsidR="00BF4F26" w:rsidRPr="00A54781" w:rsidRDefault="008334E9" w:rsidP="00A54781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djustRightInd w:val="0"/>
              <w:ind w:leftChars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A54781">
              <w:rPr>
                <w:rFonts w:ascii="標楷體" w:eastAsia="標楷體" w:hAnsi="標楷體" w:hint="eastAsia"/>
                <w:szCs w:val="24"/>
              </w:rPr>
              <w:t>依強制執行法第</w:t>
            </w:r>
            <w:r w:rsidR="00337C58" w:rsidRPr="00A54781">
              <w:rPr>
                <w:rFonts w:ascii="標楷體" w:eastAsia="標楷體" w:hAnsi="標楷體" w:hint="eastAsia"/>
                <w:szCs w:val="24"/>
              </w:rPr>
              <w:t>三十</w:t>
            </w:r>
            <w:r w:rsidRPr="00A54781">
              <w:rPr>
                <w:rFonts w:ascii="標楷體" w:eastAsia="標楷體" w:hAnsi="標楷體" w:hint="eastAsia"/>
                <w:szCs w:val="24"/>
              </w:rPr>
              <w:t>條之</w:t>
            </w:r>
            <w:r w:rsidR="00337C58" w:rsidRPr="00A54781">
              <w:rPr>
                <w:rFonts w:ascii="標楷體" w:eastAsia="標楷體" w:hAnsi="標楷體" w:hint="eastAsia"/>
                <w:szCs w:val="24"/>
              </w:rPr>
              <w:t>一</w:t>
            </w:r>
            <w:r w:rsidRPr="00A54781">
              <w:rPr>
                <w:rFonts w:ascii="標楷體" w:eastAsia="標楷體" w:hAnsi="標楷體" w:hint="eastAsia"/>
                <w:szCs w:val="24"/>
              </w:rPr>
              <w:t>規定準用民事訴訟法第</w:t>
            </w:r>
            <w:r w:rsidR="00337C58" w:rsidRPr="00A54781">
              <w:rPr>
                <w:rFonts w:ascii="標楷體" w:eastAsia="標楷體" w:hAnsi="標楷體" w:hint="eastAsia"/>
                <w:szCs w:val="24"/>
              </w:rPr>
              <w:t>七十七</w:t>
            </w:r>
            <w:r w:rsidRPr="00A54781">
              <w:rPr>
                <w:rFonts w:ascii="標楷體" w:eastAsia="標楷體" w:hAnsi="標楷體" w:hint="eastAsia"/>
                <w:szCs w:val="24"/>
              </w:rPr>
              <w:t>條之</w:t>
            </w:r>
            <w:r w:rsidR="00337C58" w:rsidRPr="00A54781">
              <w:rPr>
                <w:rFonts w:ascii="標楷體" w:eastAsia="標楷體" w:hAnsi="標楷體" w:hint="eastAsia"/>
                <w:szCs w:val="24"/>
              </w:rPr>
              <w:t>二十七</w:t>
            </w:r>
            <w:r w:rsidRPr="00A54781">
              <w:rPr>
                <w:rFonts w:ascii="標楷體" w:eastAsia="標楷體" w:hAnsi="標楷體" w:hint="eastAsia"/>
                <w:szCs w:val="24"/>
              </w:rPr>
              <w:t>規定</w:t>
            </w:r>
            <w:r w:rsidR="0053063B" w:rsidRPr="00A54781">
              <w:rPr>
                <w:rFonts w:ascii="標楷體" w:eastAsia="標楷體" w:hAnsi="標楷體" w:hint="eastAsia"/>
                <w:szCs w:val="24"/>
              </w:rPr>
              <w:t>擬訂</w:t>
            </w:r>
            <w:r w:rsidRPr="00A547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334E9" w:rsidRPr="00A54781" w:rsidRDefault="008334E9" w:rsidP="00A54781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djustRightInd w:val="0"/>
              <w:ind w:leftChars="0"/>
              <w:rPr>
                <w:rFonts w:ascii="標楷體" w:eastAsia="標楷體" w:hAnsi="標楷體"/>
                <w:szCs w:val="24"/>
              </w:rPr>
            </w:pPr>
            <w:r w:rsidRPr="00A54781">
              <w:rPr>
                <w:rFonts w:ascii="標楷體" w:eastAsia="標楷體" w:hAnsi="標楷體" w:hint="eastAsia"/>
                <w:szCs w:val="24"/>
              </w:rPr>
              <w:t>加徵後，即按執行標的金額</w:t>
            </w:r>
            <w:r w:rsidR="002F3BA8" w:rsidRPr="00A54781">
              <w:rPr>
                <w:rFonts w:ascii="標楷體" w:eastAsia="標楷體" w:hAnsi="標楷體" w:hint="eastAsia"/>
                <w:szCs w:val="24"/>
              </w:rPr>
              <w:t>或價額每百元徵收</w:t>
            </w:r>
            <w:r w:rsidR="00E7132A" w:rsidRPr="00A54781">
              <w:rPr>
                <w:rFonts w:ascii="標楷體" w:eastAsia="標楷體" w:hAnsi="標楷體" w:hint="eastAsia"/>
                <w:szCs w:val="24"/>
              </w:rPr>
              <w:t>八</w:t>
            </w:r>
            <w:r w:rsidR="002F3BA8" w:rsidRPr="00A54781">
              <w:rPr>
                <w:rFonts w:ascii="標楷體" w:eastAsia="標楷體" w:hAnsi="標楷體" w:hint="eastAsia"/>
                <w:szCs w:val="24"/>
              </w:rPr>
              <w:t>角。</w:t>
            </w:r>
          </w:p>
        </w:tc>
      </w:tr>
      <w:tr w:rsidR="00BF4F26" w:rsidTr="00A54781">
        <w:trPr>
          <w:trHeight w:val="747"/>
          <w:jc w:val="center"/>
        </w:trPr>
        <w:tc>
          <w:tcPr>
            <w:tcW w:w="4106" w:type="dxa"/>
          </w:tcPr>
          <w:p w:rsidR="00BF4F26" w:rsidRPr="00BF4F26" w:rsidRDefault="005557CC" w:rsidP="00A54781">
            <w:pPr>
              <w:kinsoku w:val="0"/>
              <w:overflowPunct w:val="0"/>
              <w:adjustRightInd w:val="0"/>
              <w:snapToGrid w:val="0"/>
              <w:spacing w:line="4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第五條  </w:t>
            </w:r>
            <w:r w:rsidR="0090737E" w:rsidRPr="0090737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本標準自發布日施行。</w:t>
            </w:r>
          </w:p>
        </w:tc>
        <w:tc>
          <w:tcPr>
            <w:tcW w:w="3980" w:type="dxa"/>
          </w:tcPr>
          <w:p w:rsidR="00BF4F26" w:rsidRPr="0090737E" w:rsidRDefault="00F04B15" w:rsidP="00BF4F2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本標準施行日期。</w:t>
            </w:r>
          </w:p>
        </w:tc>
      </w:tr>
    </w:tbl>
    <w:p w:rsidR="00A0459F" w:rsidRPr="00A0459F" w:rsidRDefault="00A0459F">
      <w:pPr>
        <w:rPr>
          <w:rFonts w:ascii="標楷體" w:eastAsia="標楷體" w:hAnsi="標楷體"/>
          <w:sz w:val="28"/>
          <w:szCs w:val="28"/>
        </w:rPr>
      </w:pPr>
    </w:p>
    <w:sectPr w:rsidR="00A0459F" w:rsidRPr="00A0459F" w:rsidSect="005F52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60" w:rsidRDefault="00DB0B60" w:rsidP="00135C0B">
      <w:r>
        <w:separator/>
      </w:r>
    </w:p>
  </w:endnote>
  <w:endnote w:type="continuationSeparator" w:id="0">
    <w:p w:rsidR="00DB0B60" w:rsidRDefault="00DB0B60" w:rsidP="0013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60" w:rsidRDefault="00DB0B60" w:rsidP="00135C0B">
      <w:r>
        <w:separator/>
      </w:r>
    </w:p>
  </w:footnote>
  <w:footnote w:type="continuationSeparator" w:id="0">
    <w:p w:rsidR="00DB0B60" w:rsidRDefault="00DB0B60" w:rsidP="0013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F23"/>
    <w:multiLevelType w:val="hybridMultilevel"/>
    <w:tmpl w:val="A198CABA"/>
    <w:lvl w:ilvl="0" w:tplc="22BE5F9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962C9"/>
    <w:multiLevelType w:val="hybridMultilevel"/>
    <w:tmpl w:val="24F2C0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2C3AB6"/>
    <w:multiLevelType w:val="hybridMultilevel"/>
    <w:tmpl w:val="780A7A1C"/>
    <w:lvl w:ilvl="0" w:tplc="E8FCD41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766724"/>
    <w:multiLevelType w:val="hybridMultilevel"/>
    <w:tmpl w:val="DB20D45C"/>
    <w:lvl w:ilvl="0" w:tplc="82F205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0417FD"/>
    <w:multiLevelType w:val="hybridMultilevel"/>
    <w:tmpl w:val="94309714"/>
    <w:lvl w:ilvl="0" w:tplc="5DB8F574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F8"/>
    <w:rsid w:val="00003DC4"/>
    <w:rsid w:val="00005DA9"/>
    <w:rsid w:val="00060D16"/>
    <w:rsid w:val="000A3C99"/>
    <w:rsid w:val="000E19C8"/>
    <w:rsid w:val="000F1157"/>
    <w:rsid w:val="00105CCA"/>
    <w:rsid w:val="00120A0C"/>
    <w:rsid w:val="00120FFA"/>
    <w:rsid w:val="00130D55"/>
    <w:rsid w:val="00135C0B"/>
    <w:rsid w:val="00142154"/>
    <w:rsid w:val="00152872"/>
    <w:rsid w:val="00161896"/>
    <w:rsid w:val="00163B65"/>
    <w:rsid w:val="0016798A"/>
    <w:rsid w:val="0018163B"/>
    <w:rsid w:val="001B42FD"/>
    <w:rsid w:val="001C70C3"/>
    <w:rsid w:val="001D764F"/>
    <w:rsid w:val="001E5B1E"/>
    <w:rsid w:val="001F5689"/>
    <w:rsid w:val="00213577"/>
    <w:rsid w:val="00226BAC"/>
    <w:rsid w:val="00226CC3"/>
    <w:rsid w:val="00252C6A"/>
    <w:rsid w:val="002543E2"/>
    <w:rsid w:val="00284088"/>
    <w:rsid w:val="00286DD6"/>
    <w:rsid w:val="002A38CA"/>
    <w:rsid w:val="002A559D"/>
    <w:rsid w:val="002B1A23"/>
    <w:rsid w:val="002B4FAA"/>
    <w:rsid w:val="002C4CF7"/>
    <w:rsid w:val="002D673D"/>
    <w:rsid w:val="002F3BA8"/>
    <w:rsid w:val="003004E8"/>
    <w:rsid w:val="00337C58"/>
    <w:rsid w:val="00342431"/>
    <w:rsid w:val="003534F8"/>
    <w:rsid w:val="00357575"/>
    <w:rsid w:val="00371270"/>
    <w:rsid w:val="00380990"/>
    <w:rsid w:val="00381BDF"/>
    <w:rsid w:val="003A1A90"/>
    <w:rsid w:val="003A4B3B"/>
    <w:rsid w:val="003B3ABB"/>
    <w:rsid w:val="003B6B27"/>
    <w:rsid w:val="003E0330"/>
    <w:rsid w:val="004005B1"/>
    <w:rsid w:val="00401B08"/>
    <w:rsid w:val="00414357"/>
    <w:rsid w:val="00414B87"/>
    <w:rsid w:val="00426B9E"/>
    <w:rsid w:val="00431A02"/>
    <w:rsid w:val="004424CF"/>
    <w:rsid w:val="00457182"/>
    <w:rsid w:val="004636DF"/>
    <w:rsid w:val="00471A15"/>
    <w:rsid w:val="00473B3A"/>
    <w:rsid w:val="00484F57"/>
    <w:rsid w:val="00496E88"/>
    <w:rsid w:val="004B456D"/>
    <w:rsid w:val="004D7CCF"/>
    <w:rsid w:val="004E3658"/>
    <w:rsid w:val="004F78AB"/>
    <w:rsid w:val="005043AC"/>
    <w:rsid w:val="005073AE"/>
    <w:rsid w:val="00520472"/>
    <w:rsid w:val="00526C95"/>
    <w:rsid w:val="0053063B"/>
    <w:rsid w:val="00531F93"/>
    <w:rsid w:val="00533BFA"/>
    <w:rsid w:val="0055377D"/>
    <w:rsid w:val="005557CC"/>
    <w:rsid w:val="00556E44"/>
    <w:rsid w:val="00565BEC"/>
    <w:rsid w:val="00581D50"/>
    <w:rsid w:val="005A3501"/>
    <w:rsid w:val="005F5230"/>
    <w:rsid w:val="00605EA3"/>
    <w:rsid w:val="00633BC6"/>
    <w:rsid w:val="00636E61"/>
    <w:rsid w:val="00662A07"/>
    <w:rsid w:val="0067299C"/>
    <w:rsid w:val="006753A0"/>
    <w:rsid w:val="00680B01"/>
    <w:rsid w:val="006B0CEC"/>
    <w:rsid w:val="006B7457"/>
    <w:rsid w:val="006C1088"/>
    <w:rsid w:val="006C2426"/>
    <w:rsid w:val="006C647B"/>
    <w:rsid w:val="006E4ACD"/>
    <w:rsid w:val="006F77F4"/>
    <w:rsid w:val="00701FF4"/>
    <w:rsid w:val="0070655F"/>
    <w:rsid w:val="00716584"/>
    <w:rsid w:val="00721819"/>
    <w:rsid w:val="00722EB4"/>
    <w:rsid w:val="00731091"/>
    <w:rsid w:val="00741CFB"/>
    <w:rsid w:val="007617D6"/>
    <w:rsid w:val="007646DA"/>
    <w:rsid w:val="00780BD2"/>
    <w:rsid w:val="00790FD2"/>
    <w:rsid w:val="00794FBB"/>
    <w:rsid w:val="007A1403"/>
    <w:rsid w:val="007A4C28"/>
    <w:rsid w:val="007C3873"/>
    <w:rsid w:val="007D5B5A"/>
    <w:rsid w:val="00800574"/>
    <w:rsid w:val="00810516"/>
    <w:rsid w:val="00817DCE"/>
    <w:rsid w:val="008334E9"/>
    <w:rsid w:val="00860BBF"/>
    <w:rsid w:val="00890947"/>
    <w:rsid w:val="00895355"/>
    <w:rsid w:val="008E072A"/>
    <w:rsid w:val="008F0DF9"/>
    <w:rsid w:val="0090737E"/>
    <w:rsid w:val="009213CC"/>
    <w:rsid w:val="00950891"/>
    <w:rsid w:val="00981175"/>
    <w:rsid w:val="00981916"/>
    <w:rsid w:val="009977E0"/>
    <w:rsid w:val="009C6A89"/>
    <w:rsid w:val="009D0B10"/>
    <w:rsid w:val="00A0459F"/>
    <w:rsid w:val="00A41ECC"/>
    <w:rsid w:val="00A44911"/>
    <w:rsid w:val="00A51667"/>
    <w:rsid w:val="00A522B3"/>
    <w:rsid w:val="00A53509"/>
    <w:rsid w:val="00A54781"/>
    <w:rsid w:val="00A55AF4"/>
    <w:rsid w:val="00A86E87"/>
    <w:rsid w:val="00AC0DDC"/>
    <w:rsid w:val="00AE1962"/>
    <w:rsid w:val="00AF0BBF"/>
    <w:rsid w:val="00AF4EDA"/>
    <w:rsid w:val="00AF5125"/>
    <w:rsid w:val="00B02B9F"/>
    <w:rsid w:val="00B53412"/>
    <w:rsid w:val="00B54B21"/>
    <w:rsid w:val="00B55DF8"/>
    <w:rsid w:val="00B73C84"/>
    <w:rsid w:val="00B7723D"/>
    <w:rsid w:val="00B803DD"/>
    <w:rsid w:val="00BA574B"/>
    <w:rsid w:val="00BC1D7A"/>
    <w:rsid w:val="00BC1D8A"/>
    <w:rsid w:val="00BD25ED"/>
    <w:rsid w:val="00BD67AB"/>
    <w:rsid w:val="00BF4F26"/>
    <w:rsid w:val="00C11CC6"/>
    <w:rsid w:val="00C465DF"/>
    <w:rsid w:val="00C55C7B"/>
    <w:rsid w:val="00C61CC6"/>
    <w:rsid w:val="00C7596A"/>
    <w:rsid w:val="00C82D2F"/>
    <w:rsid w:val="00C8466B"/>
    <w:rsid w:val="00C85EA3"/>
    <w:rsid w:val="00C8692E"/>
    <w:rsid w:val="00C9447F"/>
    <w:rsid w:val="00C96D7D"/>
    <w:rsid w:val="00C96E69"/>
    <w:rsid w:val="00CC3426"/>
    <w:rsid w:val="00CC3658"/>
    <w:rsid w:val="00CD64C9"/>
    <w:rsid w:val="00D13BB5"/>
    <w:rsid w:val="00D16A7F"/>
    <w:rsid w:val="00D60B40"/>
    <w:rsid w:val="00D753A7"/>
    <w:rsid w:val="00D833AB"/>
    <w:rsid w:val="00D86379"/>
    <w:rsid w:val="00D97CD9"/>
    <w:rsid w:val="00DB0B60"/>
    <w:rsid w:val="00DB7A3C"/>
    <w:rsid w:val="00DC2E52"/>
    <w:rsid w:val="00DC7D9A"/>
    <w:rsid w:val="00DF0ABB"/>
    <w:rsid w:val="00E0325B"/>
    <w:rsid w:val="00E0426D"/>
    <w:rsid w:val="00E15ED5"/>
    <w:rsid w:val="00E60FC3"/>
    <w:rsid w:val="00E672C5"/>
    <w:rsid w:val="00E7132A"/>
    <w:rsid w:val="00E7238D"/>
    <w:rsid w:val="00E96CCB"/>
    <w:rsid w:val="00EB025C"/>
    <w:rsid w:val="00F04B15"/>
    <w:rsid w:val="00F27A08"/>
    <w:rsid w:val="00F71E23"/>
    <w:rsid w:val="00F77DFF"/>
    <w:rsid w:val="00F85A16"/>
    <w:rsid w:val="00FB3C10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0CB5F-D8E8-4DFF-A3F5-E8B1DCFA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30"/>
    <w:pPr>
      <w:widowContro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D833A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C0B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D833AB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List Paragraph"/>
    <w:basedOn w:val="a"/>
    <w:uiPriority w:val="34"/>
    <w:qFormat/>
    <w:rsid w:val="00FF29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6laws.net/6law/law/%E5%BC%B7%E5%88%B6%E5%9F%B7%E8%A1%8C%E6%B3%9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</dc:creator>
  <dc:description>審判Word系統版本:1090303-01</dc:description>
  <cp:lastModifiedBy>施屏如</cp:lastModifiedBy>
  <cp:revision>5</cp:revision>
  <cp:lastPrinted>2019-07-17T04:01:00Z</cp:lastPrinted>
  <dcterms:created xsi:type="dcterms:W3CDTF">2021-12-14T07:12:00Z</dcterms:created>
  <dcterms:modified xsi:type="dcterms:W3CDTF">2021-12-20T07:52:00Z</dcterms:modified>
</cp:coreProperties>
</file>